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hanging="720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hanging="72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Work Cited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Emery, Laura R., and Sarah L. Morgan. “The Application of Project-Based Learning in Bioinformatics Training.” PLOS Computational Biology, vol. 13, no. 8, 2017, doi:10.1371/journal.pcbi.1005620.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Habók, Anita, and Judit Nagy. “In-Service Teachers’ Perceptions of Project-Based Learning.” SpringerPlus, vol. 5, no. 1, 2016, doi:10.1186/s40064-016-1725-4.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White, L. M. “1752 The Effect of a Real-World Learning Project on Students Knowledge Retention: A Comparative Study.” Journal of Animal Science, vol. 94, no. suppl_5, Jan. 2016, pp. 853–853., doi:10.2527/jam2016-1752.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Gras-Velázquez, Adrián. Project-Based Learning in Second Language Acquisition: Building Communities of Practice in Higher Education. Routledge, New York, NY, 2020.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hanging="360"/>
        <w:jc w:val="left"/>
      </w:pPr>
      <w:r w:rsidDel="00000000" w:rsidR="00000000" w:rsidRPr="00000000">
        <w:rPr>
          <w:rtl w:val="0"/>
        </w:rPr>
        <w:t xml:space="preserve">Laur, Dayna. Authentic Learning Experiences: A Real-World Approach to Project-Based Learning. Eye on Education, Larchmont, New York, 2013.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/>
        <w:jc w:val="left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"/>
      </w:rPr>
    </w:rPrDefault>
    <w:pPrDefault>
      <w:pPr>
        <w:spacing w:line="480" w:lineRule="auto"/>
        <w:ind w:firstLine="72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200" w:lineRule="auto"/>
      <w:ind w:firstLine="0"/>
    </w:pPr>
    <w:rPr/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spacing w:before="600" w:lineRule="auto"/>
      <w:ind w:firstLine="0"/>
      <w:jc w:val="center"/>
    </w:pPr>
    <w:rPr/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